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4AE060" w14:textId="224E0995" w:rsidR="00B320A4" w:rsidRPr="00B266B0" w:rsidRDefault="00B320A4" w:rsidP="00B320A4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Pr="00B266B0">
        <w:rPr>
          <w:noProof w:val="0"/>
          <w:sz w:val="24"/>
          <w:szCs w:val="24"/>
        </w:rPr>
        <w:t>WG2 Meeting #</w:t>
      </w:r>
      <w:r>
        <w:rPr>
          <w:noProof w:val="0"/>
          <w:sz w:val="24"/>
          <w:szCs w:val="24"/>
        </w:rPr>
        <w:t>94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6</w:t>
      </w:r>
      <w:r w:rsidR="005B1EC0">
        <w:rPr>
          <w:bCs/>
          <w:noProof w:val="0"/>
          <w:sz w:val="24"/>
          <w:szCs w:val="24"/>
        </w:rPr>
        <w:t>3437</w:t>
      </w:r>
    </w:p>
    <w:p w14:paraId="7C8E89FB" w14:textId="77777777" w:rsidR="00B320A4" w:rsidRPr="00B266B0" w:rsidRDefault="00B320A4" w:rsidP="00B320A4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Nanjing, China</w:t>
      </w:r>
      <w:r w:rsidRPr="009B07CD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23</w:t>
      </w:r>
      <w:r w:rsidRPr="009B07CD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27</w:t>
      </w:r>
      <w:r w:rsidRPr="009B07CD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 xml:space="preserve">May </w:t>
      </w:r>
      <w:r w:rsidRPr="009B07CD">
        <w:rPr>
          <w:rFonts w:eastAsia="SimSun"/>
          <w:noProof w:val="0"/>
          <w:sz w:val="24"/>
          <w:szCs w:val="24"/>
          <w:lang w:eastAsia="zh-CN"/>
        </w:rPr>
        <w:t>2016</w:t>
      </w:r>
    </w:p>
    <w:p w14:paraId="03504A7D" w14:textId="77777777" w:rsidR="00B320A4" w:rsidRPr="00B266B0" w:rsidRDefault="00B320A4" w:rsidP="00B320A4">
      <w:pPr>
        <w:pStyle w:val="Header"/>
        <w:rPr>
          <w:bCs/>
          <w:noProof w:val="0"/>
          <w:sz w:val="24"/>
        </w:rPr>
      </w:pPr>
    </w:p>
    <w:p w14:paraId="3A464AE4" w14:textId="77777777" w:rsidR="00B320A4" w:rsidRPr="00B266B0" w:rsidRDefault="00B320A4" w:rsidP="00B320A4">
      <w:pPr>
        <w:pStyle w:val="Header"/>
        <w:rPr>
          <w:bCs/>
          <w:noProof w:val="0"/>
          <w:sz w:val="24"/>
        </w:rPr>
      </w:pPr>
    </w:p>
    <w:p w14:paraId="35B3F07C" w14:textId="3F7C8278" w:rsidR="00B320A4" w:rsidRPr="00B266B0" w:rsidRDefault="00B320A4" w:rsidP="00B320A4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B283B">
        <w:rPr>
          <w:rFonts w:cs="Arial"/>
          <w:b/>
          <w:bCs/>
          <w:sz w:val="24"/>
          <w:lang w:eastAsia="ja-JP"/>
        </w:rPr>
        <w:t>9.2</w:t>
      </w:r>
    </w:p>
    <w:p w14:paraId="531DA5DA" w14:textId="77777777" w:rsidR="00B320A4" w:rsidRPr="00B266B0" w:rsidRDefault="00B320A4" w:rsidP="00B320A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Alcatel-Lucent Shanghai Bell</w:t>
      </w:r>
    </w:p>
    <w:p w14:paraId="3370901C" w14:textId="7EE71DD7" w:rsidR="00B320A4" w:rsidRDefault="00B320A4" w:rsidP="00B320A4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Beam Terminology</w:t>
      </w:r>
    </w:p>
    <w:p w14:paraId="00555BF1" w14:textId="77777777" w:rsidR="00B320A4" w:rsidRPr="00B266B0" w:rsidRDefault="00B320A4" w:rsidP="00B320A4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  <w:t>WI Code - Release 14</w:t>
      </w:r>
    </w:p>
    <w:p w14:paraId="65B4D0E4" w14:textId="77777777" w:rsidR="00B320A4" w:rsidRPr="00B266B0" w:rsidRDefault="00B320A4" w:rsidP="00B320A4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1F80A4A2" w14:textId="294FC564" w:rsidR="005A71AA" w:rsidRPr="006E13D1" w:rsidRDefault="005A71AA" w:rsidP="005A71AA">
      <w:pPr>
        <w:pStyle w:val="Heading1"/>
      </w:pPr>
      <w:r w:rsidRPr="006E13D1">
        <w:t>1</w:t>
      </w:r>
      <w:r w:rsidRPr="006E13D1">
        <w:tab/>
      </w:r>
      <w:r w:rsidR="00B320A4">
        <w:t>Introduction</w:t>
      </w:r>
    </w:p>
    <w:p w14:paraId="1C95A322" w14:textId="1A424A2A" w:rsidR="00C31414" w:rsidRPr="00B320A4" w:rsidRDefault="005A0B48" w:rsidP="00B320A4">
      <w:pPr>
        <w:rPr>
          <w:i/>
        </w:rPr>
      </w:pPr>
      <w:r w:rsidRPr="00B320A4">
        <w:rPr>
          <w:rFonts w:eastAsia="Malgun Gothic"/>
          <w:lang w:val="en-US" w:eastAsia="ko-KR"/>
        </w:rPr>
        <w:t>From RAN93bis minutes</w:t>
      </w:r>
      <w:r w:rsidR="004967EB" w:rsidRPr="00B320A4">
        <w:rPr>
          <w:rFonts w:eastAsia="Malgun Gothic"/>
          <w:lang w:val="en-US" w:eastAsia="ko-KR"/>
        </w:rPr>
        <w:t>:</w:t>
      </w:r>
      <w:r w:rsidR="00B320A4">
        <w:rPr>
          <w:rFonts w:eastAsia="Malgun Gothic"/>
          <w:lang w:val="en-US" w:eastAsia="ko-KR"/>
        </w:rPr>
        <w:t xml:space="preserve"> </w:t>
      </w:r>
      <w:r w:rsidR="004967EB" w:rsidRPr="00203B69">
        <w:rPr>
          <w:i/>
        </w:rPr>
        <w:t>Mobility</w:t>
      </w:r>
      <w:r w:rsidR="00B320A4">
        <w:rPr>
          <w:i/>
        </w:rPr>
        <w:t xml:space="preserve"> → </w:t>
      </w:r>
      <w:r w:rsidR="004967EB" w:rsidRPr="00203B69">
        <w:rPr>
          <w:i/>
        </w:rPr>
        <w:t>Different levels of mobility were discussed including 'beam level' mobility and 'cell level mobility', and in general there was a view that 'beam level' mobility should, as much as possible, be handled within the physical layer without the need for RRC reconfigurations. Some agreed definitions of 'beam', 'cell', etc</w:t>
      </w:r>
      <w:bookmarkStart w:id="1" w:name="_GoBack"/>
      <w:bookmarkEnd w:id="1"/>
      <w:r w:rsidR="004967EB" w:rsidRPr="00203B69">
        <w:rPr>
          <w:i/>
        </w:rPr>
        <w:t xml:space="preserve"> would </w:t>
      </w:r>
      <w:r w:rsidR="00B320A4">
        <w:rPr>
          <w:i/>
        </w:rPr>
        <w:t>aid such discussions in future.</w:t>
      </w:r>
    </w:p>
    <w:p w14:paraId="1D96454F" w14:textId="6AFC1B10" w:rsidR="005A0B48" w:rsidRPr="00B320A4" w:rsidRDefault="00C31414" w:rsidP="005A71AA">
      <w:r>
        <w:t xml:space="preserve">In this contribution we </w:t>
      </w:r>
      <w:r w:rsidR="00DD55AE">
        <w:t xml:space="preserve">discuss </w:t>
      </w:r>
      <w:r w:rsidR="00AA6103">
        <w:t>the definitions such as a beam, cell, beam level mobility and cell level mobility.</w:t>
      </w:r>
    </w:p>
    <w:p w14:paraId="28EDAFB5" w14:textId="77777777" w:rsidR="005A71AA" w:rsidRDefault="005A71AA" w:rsidP="005A71AA">
      <w:pPr>
        <w:pStyle w:val="Heading1"/>
      </w:pPr>
      <w:r w:rsidRPr="006E13D1">
        <w:t>2</w:t>
      </w:r>
      <w:r w:rsidRPr="006E13D1">
        <w:tab/>
      </w:r>
      <w:r>
        <w:t>Discussion</w:t>
      </w:r>
    </w:p>
    <w:p w14:paraId="71ABF130" w14:textId="05DC4067" w:rsidR="00C31414" w:rsidRDefault="003323AD" w:rsidP="003323AD">
      <w:pPr>
        <w:pStyle w:val="Heading2"/>
      </w:pPr>
      <w:r>
        <w:t>2.1</w:t>
      </w:r>
      <w:r>
        <w:tab/>
        <w:t>Beam</w:t>
      </w:r>
    </w:p>
    <w:p w14:paraId="44D14247" w14:textId="325B1852" w:rsidR="005B1D39" w:rsidRDefault="005B1D39" w:rsidP="003E47C8">
      <w:pPr>
        <w:jc w:val="both"/>
      </w:pPr>
      <w:r>
        <w:t>In [</w:t>
      </w:r>
      <w:hyperlink r:id="rId11" w:history="1">
        <w:r w:rsidR="00734A8F" w:rsidRPr="00734A8F">
          <w:rPr>
            <w:rStyle w:val="Hyperlink"/>
          </w:rPr>
          <w:t>R2-162366</w:t>
        </w:r>
      </w:hyperlink>
      <w:r>
        <w:t xml:space="preserve">] we discussed how in the higher frequencies, to provide cell coverage beam forming may be used. As the path loss increases as function of frequency, the higher the frequency </w:t>
      </w:r>
      <w:r w:rsidR="00234FA8">
        <w:t xml:space="preserve">the </w:t>
      </w:r>
      <w:r>
        <w:t xml:space="preserve">more antenna gain is required to meet the required link budget. To increase the antenna gain more antenna elements are needed to form a specific radiation pattern, a beam. Typically in beam forming, </w:t>
      </w:r>
      <w:r w:rsidRPr="00203B69">
        <w:rPr>
          <w:i/>
        </w:rPr>
        <w:t>a beam</w:t>
      </w:r>
      <w:r>
        <w:t xml:space="preserve"> refers to a radiation pattern with at least some level of directivity (e.g. implying the use of multiple antennas). A special case of a beam can be also be a so-called omnidirectional pattern where the antenna array radiates with equal gain to all directions.</w:t>
      </w:r>
    </w:p>
    <w:p w14:paraId="77AF73EC" w14:textId="77777777" w:rsidR="00E865BC" w:rsidRDefault="00E865BC" w:rsidP="003E47C8">
      <w:pPr>
        <w:jc w:val="both"/>
      </w:pPr>
      <w:r>
        <w:t>For instance F</w:t>
      </w:r>
      <w:r w:rsidR="007F529B">
        <w:t xml:space="preserve">igure 1 </w:t>
      </w:r>
      <w:r>
        <w:t xml:space="preserve">below depicts a scenario where </w:t>
      </w:r>
      <w:r w:rsidR="007F529B">
        <w:t>beams are arranged in a so-called grid-of-beams</w:t>
      </w:r>
      <w:r>
        <w:t xml:space="preserve">: </w:t>
      </w:r>
      <w:r w:rsidR="007F529B">
        <w:t>each beam’s radiation pattern is equal and the beam spacing and main lobe direction is fixed.</w:t>
      </w:r>
    </w:p>
    <w:p w14:paraId="37256C16" w14:textId="6BC0D4CF" w:rsidR="000F5515" w:rsidRDefault="007F529B" w:rsidP="003E47C8">
      <w:pPr>
        <w:jc w:val="both"/>
      </w:pPr>
      <w:r>
        <w:t>When</w:t>
      </w:r>
      <w:r w:rsidR="006F77A9" w:rsidRPr="00767019">
        <w:t xml:space="preserve"> cell coverage is provided by multiple beams, it may be beneficial to</w:t>
      </w:r>
      <w:r w:rsidR="008B5020">
        <w:t xml:space="preserve"> be able</w:t>
      </w:r>
      <w:r w:rsidR="00234FA8">
        <w:t xml:space="preserve"> to</w:t>
      </w:r>
      <w:r w:rsidR="006F77A9" w:rsidRPr="00767019">
        <w:t xml:space="preserve"> identify</w:t>
      </w:r>
      <w:r w:rsidR="008B5020">
        <w:t xml:space="preserve"> and measure a quality of </w:t>
      </w:r>
      <w:r w:rsidR="006F77A9" w:rsidRPr="00767019">
        <w:t>a single beam e.g.</w:t>
      </w:r>
      <w:r w:rsidR="006F77A9">
        <w:t xml:space="preserve"> so that network and UE are able to refer to a </w:t>
      </w:r>
      <w:r w:rsidR="008B5020">
        <w:t xml:space="preserve">signal level/quality of a specific </w:t>
      </w:r>
      <w:r w:rsidR="006F77A9">
        <w:t xml:space="preserve">radiation pattern by </w:t>
      </w:r>
      <w:r w:rsidR="008B5020">
        <w:t>an</w:t>
      </w:r>
      <w:r w:rsidR="006F77A9">
        <w:t xml:space="preserve"> identifier</w:t>
      </w:r>
      <w:r w:rsidR="008B5020">
        <w:t>:</w:t>
      </w:r>
      <w:r w:rsidR="006F77A9">
        <w:t xml:space="preserve"> a </w:t>
      </w:r>
      <w:r w:rsidR="006F77A9" w:rsidRPr="00203B69">
        <w:rPr>
          <w:i/>
        </w:rPr>
        <w:t>Beam Index</w:t>
      </w:r>
      <w:r w:rsidR="009F23CD">
        <w:rPr>
          <w:i/>
        </w:rPr>
        <w:t xml:space="preserve"> </w:t>
      </w:r>
      <w:r w:rsidR="009F23CD" w:rsidRPr="00203B69">
        <w:t>(Figure1)</w:t>
      </w:r>
      <w:r w:rsidR="006F77A9">
        <w:t>.</w:t>
      </w:r>
      <w:r>
        <w:t xml:space="preserve"> </w:t>
      </w:r>
      <w:r w:rsidR="006F77A9">
        <w:t>How to determine</w:t>
      </w:r>
      <w:r w:rsidR="009521A5">
        <w:t xml:space="preserve"> or derive</w:t>
      </w:r>
      <w:r w:rsidR="006F77A9">
        <w:t xml:space="preserve"> a beam index is FFS</w:t>
      </w:r>
      <w:r w:rsidR="000F5515">
        <w:t>.</w:t>
      </w:r>
      <w:r w:rsidR="006F77A9">
        <w:t xml:space="preserve"> </w:t>
      </w:r>
    </w:p>
    <w:p w14:paraId="31B06521" w14:textId="5FB0ECED" w:rsidR="008B5020" w:rsidRPr="003323AD" w:rsidRDefault="000F5515" w:rsidP="00D173D5">
      <w:pPr>
        <w:jc w:val="both"/>
        <w:rPr>
          <w:szCs w:val="22"/>
        </w:rPr>
      </w:pPr>
      <w:r w:rsidRPr="003323AD">
        <w:rPr>
          <w:szCs w:val="22"/>
        </w:rPr>
        <w:t xml:space="preserve">For </w:t>
      </w:r>
      <w:r w:rsidR="008B5020" w:rsidRPr="003323AD">
        <w:rPr>
          <w:szCs w:val="22"/>
        </w:rPr>
        <w:t>RAN2 to b</w:t>
      </w:r>
      <w:r w:rsidR="002C347C" w:rsidRPr="003323AD">
        <w:rPr>
          <w:szCs w:val="22"/>
        </w:rPr>
        <w:t xml:space="preserve">e able </w:t>
      </w:r>
      <w:r w:rsidR="00234FA8">
        <w:rPr>
          <w:szCs w:val="22"/>
        </w:rPr>
        <w:t xml:space="preserve">to </w:t>
      </w:r>
      <w:r w:rsidR="002C347C" w:rsidRPr="003323AD">
        <w:rPr>
          <w:szCs w:val="22"/>
        </w:rPr>
        <w:t>progress in its studies</w:t>
      </w:r>
      <w:r w:rsidR="0013505C">
        <w:rPr>
          <w:szCs w:val="22"/>
        </w:rPr>
        <w:t>, the</w:t>
      </w:r>
      <w:r w:rsidR="002C347C" w:rsidRPr="003323AD">
        <w:rPr>
          <w:szCs w:val="22"/>
        </w:rPr>
        <w:t xml:space="preserve"> </w:t>
      </w:r>
      <w:r w:rsidR="008B5020" w:rsidRPr="003323AD">
        <w:rPr>
          <w:szCs w:val="22"/>
        </w:rPr>
        <w:t xml:space="preserve">following assumption </w:t>
      </w:r>
      <w:r w:rsidRPr="003323AD">
        <w:rPr>
          <w:szCs w:val="22"/>
        </w:rPr>
        <w:t>are proposed</w:t>
      </w:r>
      <w:r w:rsidR="008B5020" w:rsidRPr="003323AD">
        <w:rPr>
          <w:szCs w:val="22"/>
        </w:rPr>
        <w:t>:</w:t>
      </w:r>
    </w:p>
    <w:p w14:paraId="5724745C" w14:textId="7C5EE8CA" w:rsidR="009521A5" w:rsidRDefault="003323AD" w:rsidP="003323AD">
      <w:pPr>
        <w:pStyle w:val="B1"/>
      </w:pPr>
      <w:r>
        <w:t>-</w:t>
      </w:r>
      <w:r>
        <w:tab/>
      </w:r>
      <w:r w:rsidR="008B5020">
        <w:t>A</w:t>
      </w:r>
      <w:r w:rsidR="00504221">
        <w:t xml:space="preserve"> </w:t>
      </w:r>
      <w:r w:rsidR="008B5020">
        <w:t>beam</w:t>
      </w:r>
      <w:r w:rsidR="000F5515">
        <w:t xml:space="preserve"> (a specific radiation pattern)</w:t>
      </w:r>
      <w:r w:rsidR="008B5020">
        <w:t xml:space="preserve"> can be referred by its beam inde</w:t>
      </w:r>
      <w:r w:rsidR="009521A5">
        <w:t>x</w:t>
      </w:r>
      <w:r>
        <w:t>;</w:t>
      </w:r>
    </w:p>
    <w:p w14:paraId="457A322D" w14:textId="55AA3471" w:rsidR="00203B69" w:rsidRPr="00E36911" w:rsidRDefault="003323AD" w:rsidP="003323AD">
      <w:pPr>
        <w:pStyle w:val="B1"/>
      </w:pPr>
      <w:r>
        <w:t>-</w:t>
      </w:r>
      <w:r>
        <w:tab/>
      </w:r>
      <w:r w:rsidR="00203B69">
        <w:t>A beam radiation pattern is s</w:t>
      </w:r>
      <w:r w:rsidR="0013505C">
        <w:t xml:space="preserve">imilar for </w:t>
      </w:r>
      <w:r>
        <w:t>TX and RX direction;</w:t>
      </w:r>
    </w:p>
    <w:p w14:paraId="2C90D14E" w14:textId="7DAAA731" w:rsidR="000F5515" w:rsidRDefault="003323AD" w:rsidP="003323AD">
      <w:pPr>
        <w:pStyle w:val="B1"/>
      </w:pPr>
      <w:r>
        <w:t>-</w:t>
      </w:r>
      <w:r>
        <w:tab/>
      </w:r>
      <w:r w:rsidR="008B5020">
        <w:t xml:space="preserve">Beam quality can be measured and explicit value can </w:t>
      </w:r>
      <w:r w:rsidR="0013505C">
        <w:t xml:space="preserve">be </w:t>
      </w:r>
      <w:r w:rsidR="008B5020">
        <w:t xml:space="preserve">used to indicate the quality such </w:t>
      </w:r>
      <w:r w:rsidR="000F5515">
        <w:t xml:space="preserve">as </w:t>
      </w:r>
      <w:r w:rsidR="003853D4">
        <w:t>received power level or received quality level</w:t>
      </w:r>
      <w:r>
        <w:t>.</w:t>
      </w:r>
    </w:p>
    <w:p w14:paraId="7E8B625A" w14:textId="7D133795" w:rsidR="004B427F" w:rsidRPr="00D23151" w:rsidRDefault="000F5515" w:rsidP="0013505C">
      <w:pPr>
        <w:rPr>
          <w:rFonts w:eastAsia="MS Mincho"/>
        </w:rPr>
      </w:pPr>
      <w:r>
        <w:t>At this stage of RAN2</w:t>
      </w:r>
      <w:r w:rsidR="00203B69">
        <w:t xml:space="preserve"> studies with respect to the RAN1 progress,</w:t>
      </w:r>
      <w:r>
        <w:t xml:space="preserve"> we propose to </w:t>
      </w:r>
      <w:r w:rsidR="00203B69">
        <w:t>agree on following definitions:</w:t>
      </w:r>
      <w:r>
        <w:t xml:space="preserve"> </w:t>
      </w:r>
    </w:p>
    <w:p w14:paraId="4449207D" w14:textId="5F3C4DCF" w:rsidR="00DF5608" w:rsidRDefault="009521A5" w:rsidP="0013505C">
      <w:pPr>
        <w:rPr>
          <w:i/>
        </w:rPr>
      </w:pPr>
      <w:r w:rsidRPr="0013505C">
        <w:rPr>
          <w:b/>
        </w:rPr>
        <w:t>Proposal 1</w:t>
      </w:r>
      <w:r w:rsidRPr="00203B69">
        <w:t xml:space="preserve">: </w:t>
      </w:r>
      <w:r w:rsidR="00290689">
        <w:t>N</w:t>
      </w:r>
      <w:r w:rsidR="003E47C8">
        <w:t>G</w:t>
      </w:r>
      <w:r w:rsidR="00290689">
        <w:t xml:space="preserve">-NB’s </w:t>
      </w:r>
      <w:r w:rsidR="004B427F">
        <w:t>TX</w:t>
      </w:r>
      <w:r w:rsidR="00FE352D">
        <w:t>/RX (communication)</w:t>
      </w:r>
      <w:r w:rsidR="004B427F">
        <w:t xml:space="preserve"> </w:t>
      </w:r>
      <w:r w:rsidRPr="00203B69">
        <w:t xml:space="preserve">beam can be referred by a </w:t>
      </w:r>
      <w:r w:rsidRPr="00203B69">
        <w:rPr>
          <w:i/>
        </w:rPr>
        <w:t xml:space="preserve">beam </w:t>
      </w:r>
      <w:r w:rsidR="000F5515">
        <w:rPr>
          <w:i/>
        </w:rPr>
        <w:t>index</w:t>
      </w:r>
      <w:r w:rsidR="0013505C">
        <w:rPr>
          <w:i/>
        </w:rPr>
        <w:t>.</w:t>
      </w:r>
    </w:p>
    <w:p w14:paraId="1FF12756" w14:textId="405D0EDA" w:rsidR="00D629C3" w:rsidRDefault="00DF5608" w:rsidP="0013505C">
      <w:r w:rsidRPr="0013505C">
        <w:rPr>
          <w:b/>
        </w:rPr>
        <w:t>Proposal 2</w:t>
      </w:r>
      <w:r w:rsidRPr="007023E8">
        <w:t xml:space="preserve">: </w:t>
      </w:r>
      <w:r w:rsidR="00290689">
        <w:t>N</w:t>
      </w:r>
      <w:r w:rsidR="003E47C8">
        <w:t>G</w:t>
      </w:r>
      <w:r w:rsidR="00290689">
        <w:t xml:space="preserve">-NB’s </w:t>
      </w:r>
      <w:r>
        <w:t xml:space="preserve">TX/RX (communication) </w:t>
      </w:r>
      <w:r w:rsidRPr="007023E8">
        <w:t xml:space="preserve">beam </w:t>
      </w:r>
      <w:r>
        <w:t xml:space="preserve">quality (received power level, received quality) can be measured </w:t>
      </w:r>
      <w:r w:rsidR="00BB0EF8">
        <w:t>and the measurement can be linked to a beam index</w:t>
      </w:r>
      <w:r w:rsidR="0013505C">
        <w:t>.</w:t>
      </w:r>
    </w:p>
    <w:p w14:paraId="017EE1F1" w14:textId="5DECB648" w:rsidR="00D629C3" w:rsidRDefault="00832739" w:rsidP="00203B69">
      <w:pPr>
        <w:jc w:val="center"/>
        <w:rPr>
          <w:b/>
          <w:szCs w:val="22"/>
        </w:rPr>
      </w:pPr>
      <w:r w:rsidRPr="00832739">
        <w:lastRenderedPageBreak/>
        <w:t xml:space="preserve"> </w:t>
      </w:r>
      <w:r w:rsidR="007B3156">
        <w:object w:dxaOrig="9748" w:dyaOrig="7248" w14:anchorId="7268B1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65pt;height:266.25pt" o:ole="">
            <v:imagedata r:id="rId12" o:title=""/>
          </v:shape>
          <o:OLEObject Type="Embed" ProgID="Visio.Drawing.11" ShapeID="_x0000_i1025" DrawAspect="Content" ObjectID="_1524655718" r:id="rId13"/>
        </w:object>
      </w:r>
    </w:p>
    <w:p w14:paraId="7BAE89E7" w14:textId="6C8704A1" w:rsidR="00D629C3" w:rsidRDefault="00D629C3" w:rsidP="00666F0A">
      <w:pPr>
        <w:pStyle w:val="TF"/>
        <w:rPr>
          <w:szCs w:val="22"/>
        </w:rPr>
      </w:pPr>
      <w:r>
        <w:t xml:space="preserve">Figure </w:t>
      </w:r>
      <w:fldSimple w:instr=" SEQ Figure \* ARABIC ">
        <w:r w:rsidR="009B4C84">
          <w:rPr>
            <w:noProof/>
          </w:rPr>
          <w:t>1</w:t>
        </w:r>
      </w:fldSimple>
      <w:r>
        <w:t xml:space="preserve">. Illustration of an </w:t>
      </w:r>
      <w:r w:rsidR="00290689">
        <w:t>N</w:t>
      </w:r>
      <w:r w:rsidR="003E47C8">
        <w:t>G</w:t>
      </w:r>
      <w:r w:rsidR="00290689">
        <w:t xml:space="preserve">-NB </w:t>
      </w:r>
      <w:r>
        <w:t>and the beam indexing</w:t>
      </w:r>
    </w:p>
    <w:p w14:paraId="4A183ACB" w14:textId="3A112204" w:rsidR="003853D4" w:rsidRDefault="00666F0A" w:rsidP="00666F0A">
      <w:pPr>
        <w:pStyle w:val="Heading2"/>
      </w:pPr>
      <w:r>
        <w:t>2.2</w:t>
      </w:r>
      <w:r>
        <w:tab/>
        <w:t>Cell</w:t>
      </w:r>
    </w:p>
    <w:p w14:paraId="1E945B2F" w14:textId="6368C5D4" w:rsidR="003853D4" w:rsidRDefault="003853D4" w:rsidP="003853D4">
      <w:pPr>
        <w:jc w:val="both"/>
        <w:rPr>
          <w:szCs w:val="22"/>
        </w:rPr>
      </w:pPr>
      <w:r>
        <w:rPr>
          <w:szCs w:val="22"/>
        </w:rPr>
        <w:t xml:space="preserve">Cell </w:t>
      </w:r>
      <w:r w:rsidR="007F529B">
        <w:rPr>
          <w:szCs w:val="22"/>
        </w:rPr>
        <w:t xml:space="preserve">area </w:t>
      </w:r>
      <w:r>
        <w:rPr>
          <w:szCs w:val="22"/>
        </w:rPr>
        <w:t xml:space="preserve">may be covered by potentially </w:t>
      </w:r>
      <w:r w:rsidR="007F529B">
        <w:rPr>
          <w:szCs w:val="22"/>
        </w:rPr>
        <w:t xml:space="preserve">using </w:t>
      </w:r>
      <w:r>
        <w:rPr>
          <w:szCs w:val="22"/>
        </w:rPr>
        <w:t xml:space="preserve">multiple beams, which </w:t>
      </w:r>
      <w:r w:rsidR="007F529B">
        <w:rPr>
          <w:szCs w:val="22"/>
        </w:rPr>
        <w:t xml:space="preserve">can be identified and beam specific quality measured. </w:t>
      </w:r>
      <w:r w:rsidR="00203B69">
        <w:rPr>
          <w:szCs w:val="22"/>
        </w:rPr>
        <w:t>B</w:t>
      </w:r>
      <w:r>
        <w:rPr>
          <w:szCs w:val="22"/>
        </w:rPr>
        <w:t>eam</w:t>
      </w:r>
      <w:r w:rsidR="00203B69">
        <w:rPr>
          <w:szCs w:val="22"/>
        </w:rPr>
        <w:t>/beams</w:t>
      </w:r>
      <w:r>
        <w:rPr>
          <w:szCs w:val="22"/>
        </w:rPr>
        <w:t xml:space="preserve"> should be further be able to be mapped to a specific cell identifier. For RAN2 to progress we propose following assumptions:</w:t>
      </w:r>
    </w:p>
    <w:p w14:paraId="3C7AE0F5" w14:textId="017D0458" w:rsidR="003853D4" w:rsidRDefault="00D62045" w:rsidP="00D62045">
      <w:pPr>
        <w:pStyle w:val="B1"/>
      </w:pPr>
      <w:r>
        <w:t>-</w:t>
      </w:r>
      <w:r>
        <w:tab/>
      </w:r>
      <w:r w:rsidR="003853D4">
        <w:t xml:space="preserve">A cell is defined by a </w:t>
      </w:r>
      <w:r w:rsidR="000F5515">
        <w:t>presence o</w:t>
      </w:r>
      <w:r w:rsidR="003853D4">
        <w:t>f a cell identifier</w:t>
      </w:r>
      <w:r>
        <w:t>;</w:t>
      </w:r>
    </w:p>
    <w:p w14:paraId="5114EA66" w14:textId="13BE2ACF" w:rsidR="003853D4" w:rsidRDefault="00D62045" w:rsidP="00D62045">
      <w:pPr>
        <w:pStyle w:val="B1"/>
      </w:pPr>
      <w:r>
        <w:t>-</w:t>
      </w:r>
      <w:r>
        <w:tab/>
      </w:r>
      <w:r w:rsidR="00504221">
        <w:t>Cell area covered by multiple beams can be identified and linked to a cell identifier</w:t>
      </w:r>
      <w:r>
        <w:t>.</w:t>
      </w:r>
    </w:p>
    <w:p w14:paraId="52958BDF" w14:textId="77777777" w:rsidR="00504221" w:rsidRPr="00203B69" w:rsidRDefault="00504221" w:rsidP="00D62045">
      <w:r>
        <w:t>It is FFS how to determine/derive the Cell Identifier.</w:t>
      </w:r>
    </w:p>
    <w:p w14:paraId="4E23BE61" w14:textId="23070418" w:rsidR="003853D4" w:rsidRDefault="003853D4" w:rsidP="00D62045">
      <w:r w:rsidRPr="00D62045">
        <w:rPr>
          <w:b/>
        </w:rPr>
        <w:t xml:space="preserve">Proposal </w:t>
      </w:r>
      <w:r w:rsidR="009F23CD" w:rsidRPr="00D62045">
        <w:rPr>
          <w:b/>
        </w:rPr>
        <w:t>3</w:t>
      </w:r>
      <w:r w:rsidRPr="00203B69">
        <w:t xml:space="preserve">: </w:t>
      </w:r>
      <w:r w:rsidR="009160F4">
        <w:t>A</w:t>
      </w:r>
      <w:r w:rsidR="00D62045">
        <w:t xml:space="preserve"> cell is defined by the</w:t>
      </w:r>
      <w:r w:rsidRPr="00203B69">
        <w:t xml:space="preserve"> </w:t>
      </w:r>
      <w:r w:rsidR="000F5515">
        <w:t xml:space="preserve">presence of a </w:t>
      </w:r>
      <w:r w:rsidRPr="00203B69">
        <w:t>Cell Identifier</w:t>
      </w:r>
      <w:r w:rsidR="00504221" w:rsidRPr="00E36911">
        <w:t xml:space="preserve"> (CI)</w:t>
      </w:r>
      <w:r w:rsidR="00D62045">
        <w:t>.</w:t>
      </w:r>
    </w:p>
    <w:p w14:paraId="4C4B7D4F" w14:textId="11BE1E0B" w:rsidR="009F23CD" w:rsidRPr="00E36911" w:rsidRDefault="000838B2" w:rsidP="00D62045">
      <w:r w:rsidRPr="00D62045">
        <w:rPr>
          <w:b/>
        </w:rPr>
        <w:t xml:space="preserve">Proposal </w:t>
      </w:r>
      <w:r w:rsidR="009F23CD" w:rsidRPr="00D62045">
        <w:rPr>
          <w:b/>
        </w:rPr>
        <w:t>4</w:t>
      </w:r>
      <w:r w:rsidRPr="00E36911">
        <w:t xml:space="preserve">: </w:t>
      </w:r>
      <w:r w:rsidR="009F23CD" w:rsidRPr="00E36911">
        <w:t xml:space="preserve">Beam(s) covering the </w:t>
      </w:r>
      <w:r w:rsidR="00D62045">
        <w:t xml:space="preserve">same </w:t>
      </w:r>
      <w:r w:rsidR="009F23CD" w:rsidRPr="00E36911">
        <w:t xml:space="preserve">cell </w:t>
      </w:r>
      <w:r w:rsidR="000F5515">
        <w:t xml:space="preserve">are </w:t>
      </w:r>
      <w:r w:rsidR="009F23CD" w:rsidRPr="00031071">
        <w:t xml:space="preserve">linked to the </w:t>
      </w:r>
      <w:r w:rsidR="00D62045">
        <w:t xml:space="preserve">same </w:t>
      </w:r>
      <w:r w:rsidR="009F23CD" w:rsidRPr="00031071">
        <w:t>Cell Identifier</w:t>
      </w:r>
      <w:r w:rsidR="00D62045">
        <w:t>.</w:t>
      </w:r>
    </w:p>
    <w:p w14:paraId="249345AB" w14:textId="6380BEA3" w:rsidR="00F12C8A" w:rsidRDefault="00D62045" w:rsidP="00D62045">
      <w:pPr>
        <w:pStyle w:val="Heading2"/>
        <w:rPr>
          <w:u w:val="single"/>
        </w:rPr>
      </w:pPr>
      <w:r>
        <w:t>2.3</w:t>
      </w:r>
      <w:r>
        <w:tab/>
        <w:t>Mobility</w:t>
      </w:r>
    </w:p>
    <w:p w14:paraId="588F8339" w14:textId="28B6BA30" w:rsidR="00FE0C8F" w:rsidRDefault="007F529B" w:rsidP="003E47C8">
      <w:pPr>
        <w:jc w:val="both"/>
      </w:pPr>
      <w:r>
        <w:t>T</w:t>
      </w:r>
      <w:r w:rsidR="009F23CD">
        <w:t>o provide solid coverage</w:t>
      </w:r>
      <w:r>
        <w:t xml:space="preserve"> over </w:t>
      </w:r>
      <w:r w:rsidR="00734A8F">
        <w:t>a</w:t>
      </w:r>
      <w:r>
        <w:t xml:space="preserve"> cell area</w:t>
      </w:r>
      <w:r w:rsidR="009F23CD">
        <w:t xml:space="preserve">, beam radiation patterns </w:t>
      </w:r>
      <w:r w:rsidR="00734A8F">
        <w:t xml:space="preserve">will </w:t>
      </w:r>
      <w:r w:rsidR="009F23CD">
        <w:t>overlap in spatial domain.</w:t>
      </w:r>
      <w:r w:rsidR="00A86523">
        <w:t xml:space="preserve"> </w:t>
      </w:r>
      <w:r w:rsidR="00450ABB">
        <w:t xml:space="preserve">Also the beam radiation patterns </w:t>
      </w:r>
      <w:r w:rsidR="00FE0C8F">
        <w:t xml:space="preserve">not only radiate to the main lobe direction (where the array gain is strongest) but also to other directions as well so that there may be considerable array gain </w:t>
      </w:r>
      <w:r w:rsidR="008834FF">
        <w:t>to</w:t>
      </w:r>
      <w:r w:rsidR="00FE0C8F">
        <w:t xml:space="preserve"> sid</w:t>
      </w:r>
      <w:r w:rsidR="008834FF">
        <w:t>e lobe and back lobe directions</w:t>
      </w:r>
      <w:r w:rsidR="00FD0085">
        <w:t xml:space="preserve"> (the beam radiation pattern is </w:t>
      </w:r>
      <w:r w:rsidR="00734A8F">
        <w:t xml:space="preserve">typically </w:t>
      </w:r>
      <w:r w:rsidR="00FD0085">
        <w:t>illustrated so that only the main lobe is drawn</w:t>
      </w:r>
      <w:r w:rsidR="00E5446E">
        <w:t>)</w:t>
      </w:r>
      <w:r w:rsidR="00FD0085">
        <w:t xml:space="preserve">. </w:t>
      </w:r>
      <w:r w:rsidR="008834FF">
        <w:t>Signals may also reflect from surrounding environment, thus UE may be able to detect multiple beams per cell.</w:t>
      </w:r>
    </w:p>
    <w:p w14:paraId="493AE9C7" w14:textId="61B831F0" w:rsidR="00FD0085" w:rsidRDefault="00FD0085" w:rsidP="003E47C8">
      <w:pPr>
        <w:jc w:val="both"/>
      </w:pPr>
      <w:r>
        <w:t xml:space="preserve">Figure 2 </w:t>
      </w:r>
      <w:r w:rsidR="00734A8F">
        <w:t xml:space="preserve">below </w:t>
      </w:r>
      <w:r>
        <w:t xml:space="preserve">illustrates the beam level mobility and cell level mobility. In beam level mobility UE may move in a cell </w:t>
      </w:r>
      <w:r w:rsidR="00234FA8">
        <w:t xml:space="preserve">from </w:t>
      </w:r>
      <w:r>
        <w:t xml:space="preserve">the coverage area of one beam to another, a current communication beam may be blocked due to obstacle or a new beam is detected e.g. due to a reflection. </w:t>
      </w:r>
    </w:p>
    <w:p w14:paraId="502162D7" w14:textId="7260B9D2" w:rsidR="00FD0085" w:rsidRDefault="00FD0085" w:rsidP="003E47C8">
      <w:pPr>
        <w:jc w:val="both"/>
      </w:pPr>
      <w:r>
        <w:t xml:space="preserve">Beam level mobility can be viewed more as a beam management rather </w:t>
      </w:r>
      <w:r w:rsidR="00234FA8">
        <w:t xml:space="preserve">than </w:t>
      </w:r>
      <w:r>
        <w:t>actual mobility</w:t>
      </w:r>
      <w:r w:rsidR="00D52902">
        <w:t xml:space="preserve"> management</w:t>
      </w:r>
      <w:r>
        <w:t xml:space="preserve"> as </w:t>
      </w:r>
      <w:r w:rsidR="00D52902">
        <w:t xml:space="preserve">UE is under the coverage of the same (serving) cell but </w:t>
      </w:r>
      <w:r w:rsidR="00234FA8">
        <w:t xml:space="preserve"> and</w:t>
      </w:r>
      <w:r w:rsidR="00D52902">
        <w:t xml:space="preserve"> beams used for communication may </w:t>
      </w:r>
      <w:r w:rsidR="007052C8">
        <w:t>change</w:t>
      </w:r>
      <w:r w:rsidR="00D52902">
        <w:t xml:space="preserve"> over time</w:t>
      </w:r>
      <w:r w:rsidR="007052C8">
        <w:t xml:space="preserve">, </w:t>
      </w:r>
      <w:r w:rsidR="00D52902">
        <w:t>quite dynamically but e.g. User Plane L2 configuration is not impacted</w:t>
      </w:r>
      <w:r w:rsidR="007052C8">
        <w:t xml:space="preserve"> as in</w:t>
      </w:r>
      <w:r w:rsidR="00E36911">
        <w:t xml:space="preserve"> </w:t>
      </w:r>
      <w:r w:rsidR="007052C8">
        <w:t>cell level mobility</w:t>
      </w:r>
      <w:r w:rsidR="00D52902">
        <w:t>.</w:t>
      </w:r>
      <w:r w:rsidR="007052C8">
        <w:t xml:space="preserve"> </w:t>
      </w:r>
      <w:r w:rsidR="00031071">
        <w:t>The impacts to the L2 user plane, and t</w:t>
      </w:r>
      <w:r w:rsidR="007052C8">
        <w:t xml:space="preserve">he signalling impacts to the L2 and RRC </w:t>
      </w:r>
      <w:r w:rsidR="00234FA8">
        <w:t xml:space="preserve">in this case </w:t>
      </w:r>
      <w:r w:rsidR="007052C8">
        <w:t>are FFS</w:t>
      </w:r>
    </w:p>
    <w:p w14:paraId="1BA5ADB2" w14:textId="1E87933E" w:rsidR="00D52902" w:rsidRPr="00031071" w:rsidRDefault="00FD0085" w:rsidP="00D62045">
      <w:r w:rsidRPr="00D62045">
        <w:rPr>
          <w:b/>
        </w:rPr>
        <w:t xml:space="preserve">Proposal </w:t>
      </w:r>
      <w:r w:rsidR="0036231A" w:rsidRPr="00D62045">
        <w:rPr>
          <w:b/>
        </w:rPr>
        <w:t>5</w:t>
      </w:r>
      <w:r w:rsidRPr="00031071">
        <w:t xml:space="preserve">: </w:t>
      </w:r>
      <w:r w:rsidR="00D52902" w:rsidRPr="00031071">
        <w:t>In b</w:t>
      </w:r>
      <w:r w:rsidRPr="00031071">
        <w:t xml:space="preserve">eam level mobility </w:t>
      </w:r>
      <w:r w:rsidR="00D52902" w:rsidRPr="00031071">
        <w:t>UE’s serving cell does not change</w:t>
      </w:r>
      <w:r w:rsidR="00031071">
        <w:t>.</w:t>
      </w:r>
    </w:p>
    <w:p w14:paraId="404FA0F9" w14:textId="563FF3DB" w:rsidR="00FD0085" w:rsidRDefault="00FD0085" w:rsidP="00D62045">
      <w:r>
        <w:t>In cell level mobility, UE moves from the coverage area of one cell</w:t>
      </w:r>
      <w:r w:rsidR="00D52902">
        <w:t xml:space="preserve"> to another and can be viewed more as conventional handover </w:t>
      </w:r>
      <w:r w:rsidR="007052C8">
        <w:t xml:space="preserve">so that UE’s serving cell is changed. The impact to the </w:t>
      </w:r>
      <w:r w:rsidR="00203B69">
        <w:t xml:space="preserve">L2 configuration and </w:t>
      </w:r>
      <w:r w:rsidR="007052C8">
        <w:t>RRC signalling is FFS.</w:t>
      </w:r>
    </w:p>
    <w:p w14:paraId="16F97BFA" w14:textId="7640F9EE" w:rsidR="00113655" w:rsidRPr="00031071" w:rsidRDefault="00D52902" w:rsidP="00D62045">
      <w:r w:rsidRPr="00D62045">
        <w:rPr>
          <w:b/>
        </w:rPr>
        <w:lastRenderedPageBreak/>
        <w:t xml:space="preserve">Proposal </w:t>
      </w:r>
      <w:r w:rsidR="0036231A" w:rsidRPr="00D62045">
        <w:rPr>
          <w:b/>
        </w:rPr>
        <w:t>6</w:t>
      </w:r>
      <w:r w:rsidRPr="00031071">
        <w:t>:</w:t>
      </w:r>
      <w:r w:rsidR="007052C8" w:rsidRPr="00E36911">
        <w:t xml:space="preserve"> I</w:t>
      </w:r>
      <w:r w:rsidR="007052C8" w:rsidRPr="00031071">
        <w:t>n cell</w:t>
      </w:r>
      <w:r w:rsidRPr="00031071">
        <w:t xml:space="preserve"> level mobility </w:t>
      </w:r>
      <w:r w:rsidR="007052C8" w:rsidRPr="00031071">
        <w:t>UE’s serving cell changes</w:t>
      </w:r>
    </w:p>
    <w:p w14:paraId="7C15F252" w14:textId="77777777" w:rsidR="00113655" w:rsidRDefault="00113655" w:rsidP="00D173D5">
      <w:pPr>
        <w:jc w:val="both"/>
        <w:rPr>
          <w:szCs w:val="22"/>
        </w:rPr>
      </w:pPr>
    </w:p>
    <w:p w14:paraId="70FE1F15" w14:textId="3C01BF6D" w:rsidR="00113655" w:rsidRDefault="00061D60" w:rsidP="00031071">
      <w:pPr>
        <w:jc w:val="center"/>
        <w:rPr>
          <w:szCs w:val="22"/>
        </w:rPr>
      </w:pPr>
      <w:r w:rsidRPr="00061D60">
        <w:t xml:space="preserve"> </w:t>
      </w:r>
      <w:r w:rsidR="006B4A29">
        <w:object w:dxaOrig="9920" w:dyaOrig="6495" w14:anchorId="7F94CC68">
          <v:shape id="_x0000_i1026" type="#_x0000_t75" style="width:303.6pt;height:199.7pt" o:ole="">
            <v:imagedata r:id="rId14" o:title=""/>
          </v:shape>
          <o:OLEObject Type="Embed" ProgID="Visio.Drawing.11" ShapeID="_x0000_i1026" DrawAspect="Content" ObjectID="_1524655719" r:id="rId15"/>
        </w:object>
      </w:r>
    </w:p>
    <w:p w14:paraId="5FFB6D07" w14:textId="77777777" w:rsidR="00113655" w:rsidRDefault="009B4C84" w:rsidP="00D62045">
      <w:pPr>
        <w:pStyle w:val="TF"/>
        <w:rPr>
          <w:szCs w:val="22"/>
        </w:rPr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>. Illustration of Beam Level and Cell Level Mobility</w:t>
      </w:r>
    </w:p>
    <w:p w14:paraId="331B6C14" w14:textId="77777777" w:rsidR="00A6004D" w:rsidRDefault="00A6004D" w:rsidP="00637E86">
      <w:pPr>
        <w:jc w:val="both"/>
        <w:rPr>
          <w:b/>
        </w:rPr>
      </w:pPr>
    </w:p>
    <w:p w14:paraId="3E0E1C99" w14:textId="77777777" w:rsidR="00EC463D" w:rsidRPr="00EC463D" w:rsidRDefault="00B41BC7" w:rsidP="00C2413D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1781D001" w14:textId="68F18496" w:rsidR="00734A8F" w:rsidRPr="00734A8F" w:rsidRDefault="00734A8F" w:rsidP="00734A8F">
      <w:r>
        <w:t>This paper has discussed beam terminology and the following proposals were made:</w:t>
      </w:r>
    </w:p>
    <w:p w14:paraId="75D0DB09" w14:textId="00926FFA" w:rsidR="00734A8F" w:rsidRDefault="00734A8F" w:rsidP="00734A8F">
      <w:pPr>
        <w:rPr>
          <w:i/>
        </w:rPr>
      </w:pPr>
      <w:r w:rsidRPr="0013505C">
        <w:rPr>
          <w:b/>
        </w:rPr>
        <w:t>Proposal 1</w:t>
      </w:r>
      <w:r w:rsidRPr="00203B69">
        <w:t xml:space="preserve">: </w:t>
      </w:r>
      <w:r>
        <w:t>N</w:t>
      </w:r>
      <w:r w:rsidR="003E47C8">
        <w:t>G</w:t>
      </w:r>
      <w:r w:rsidR="00290689">
        <w:t>-NB’s</w:t>
      </w:r>
      <w:r>
        <w:t xml:space="preserve"> TX/RX (communication) </w:t>
      </w:r>
      <w:r w:rsidRPr="00203B69">
        <w:t xml:space="preserve">beam can be referred by a </w:t>
      </w:r>
      <w:r w:rsidRPr="00203B69">
        <w:rPr>
          <w:i/>
        </w:rPr>
        <w:t xml:space="preserve">beam </w:t>
      </w:r>
      <w:r>
        <w:rPr>
          <w:i/>
        </w:rPr>
        <w:t>index.</w:t>
      </w:r>
    </w:p>
    <w:p w14:paraId="686FD8BC" w14:textId="4FEF4D78" w:rsidR="00734A8F" w:rsidRDefault="00734A8F" w:rsidP="00734A8F">
      <w:r w:rsidRPr="0013505C">
        <w:rPr>
          <w:b/>
        </w:rPr>
        <w:t>Proposal 2</w:t>
      </w:r>
      <w:r w:rsidRPr="007023E8">
        <w:t xml:space="preserve">: </w:t>
      </w:r>
      <w:r w:rsidR="00290689">
        <w:t>N</w:t>
      </w:r>
      <w:r w:rsidR="003E47C8">
        <w:t>G</w:t>
      </w:r>
      <w:r w:rsidR="00290689">
        <w:t xml:space="preserve">-NB’s </w:t>
      </w:r>
      <w:r>
        <w:t xml:space="preserve">TX/RX (communication) </w:t>
      </w:r>
      <w:r w:rsidRPr="007023E8">
        <w:t xml:space="preserve">beam </w:t>
      </w:r>
      <w:r>
        <w:t>quality (received power level, received quality) can be measured and the measurement can be linked to a beam index.</w:t>
      </w:r>
    </w:p>
    <w:p w14:paraId="4F62ED46" w14:textId="73439C22" w:rsidR="00734A8F" w:rsidRDefault="00734A8F" w:rsidP="00734A8F">
      <w:r w:rsidRPr="00D62045">
        <w:rPr>
          <w:b/>
        </w:rPr>
        <w:t>Proposal 3</w:t>
      </w:r>
      <w:r w:rsidRPr="00203B69">
        <w:t xml:space="preserve">: </w:t>
      </w:r>
      <w:r w:rsidR="00A63D96">
        <w:t>A</w:t>
      </w:r>
      <w:r>
        <w:t xml:space="preserve"> cell is defined by the</w:t>
      </w:r>
      <w:r w:rsidRPr="00203B69">
        <w:t xml:space="preserve"> </w:t>
      </w:r>
      <w:r>
        <w:t xml:space="preserve">presence of a </w:t>
      </w:r>
      <w:r w:rsidRPr="00203B69">
        <w:t>Cell Identifier</w:t>
      </w:r>
      <w:r w:rsidRPr="00E36911">
        <w:t xml:space="preserve"> (CI)</w:t>
      </w:r>
      <w:r>
        <w:t>.</w:t>
      </w:r>
    </w:p>
    <w:p w14:paraId="21356D33" w14:textId="77777777" w:rsidR="00734A8F" w:rsidRPr="00E36911" w:rsidRDefault="00734A8F" w:rsidP="00734A8F">
      <w:r w:rsidRPr="00D62045">
        <w:rPr>
          <w:b/>
        </w:rPr>
        <w:t>Proposal 4</w:t>
      </w:r>
      <w:r w:rsidRPr="00E36911">
        <w:t xml:space="preserve">: Beam(s) covering the </w:t>
      </w:r>
      <w:r>
        <w:t xml:space="preserve">same </w:t>
      </w:r>
      <w:r w:rsidRPr="00E36911">
        <w:t xml:space="preserve">cell </w:t>
      </w:r>
      <w:r>
        <w:t xml:space="preserve">are </w:t>
      </w:r>
      <w:r w:rsidRPr="00031071">
        <w:t xml:space="preserve">linked to the </w:t>
      </w:r>
      <w:r>
        <w:t xml:space="preserve">same </w:t>
      </w:r>
      <w:r w:rsidRPr="00031071">
        <w:t>Cell Identifier</w:t>
      </w:r>
      <w:r>
        <w:t>.</w:t>
      </w:r>
    </w:p>
    <w:p w14:paraId="4FE0AE88" w14:textId="77777777" w:rsidR="00734A8F" w:rsidRPr="00031071" w:rsidRDefault="00734A8F" w:rsidP="00734A8F">
      <w:r w:rsidRPr="00D62045">
        <w:rPr>
          <w:b/>
        </w:rPr>
        <w:t>Proposal 5</w:t>
      </w:r>
      <w:r w:rsidRPr="00031071">
        <w:t>: In beam level mobility UE’s serving cell does not change</w:t>
      </w:r>
      <w:r>
        <w:t>.</w:t>
      </w:r>
    </w:p>
    <w:p w14:paraId="440587A4" w14:textId="52A6ED7C" w:rsidR="0039123D" w:rsidRDefault="00734A8F" w:rsidP="00734A8F">
      <w:r w:rsidRPr="00D62045">
        <w:rPr>
          <w:b/>
        </w:rPr>
        <w:t>Proposal 6</w:t>
      </w:r>
      <w:r w:rsidRPr="00031071">
        <w:t>:</w:t>
      </w:r>
      <w:r w:rsidRPr="00E36911">
        <w:t xml:space="preserve"> I</w:t>
      </w:r>
      <w:r w:rsidRPr="00031071">
        <w:t>n cell level mobility UE’s serving cell changes</w:t>
      </w:r>
      <w:r>
        <w:t>.</w:t>
      </w:r>
    </w:p>
    <w:p w14:paraId="7AF17FE9" w14:textId="77777777" w:rsidR="00CD4C7B" w:rsidRDefault="00CD4C7B" w:rsidP="00CD4C7B"/>
    <w:p w14:paraId="1DC4FBCB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BF1302" w14:textId="77777777" w:rsidR="0013244E" w:rsidRDefault="0013244E">
      <w:r>
        <w:separator/>
      </w:r>
    </w:p>
  </w:endnote>
  <w:endnote w:type="continuationSeparator" w:id="0">
    <w:p w14:paraId="1A895D25" w14:textId="77777777" w:rsidR="0013244E" w:rsidRDefault="00132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966BAD" w14:textId="77777777" w:rsidR="0013244E" w:rsidRDefault="0013244E">
      <w:r>
        <w:separator/>
      </w:r>
    </w:p>
  </w:footnote>
  <w:footnote w:type="continuationSeparator" w:id="0">
    <w:p w14:paraId="1BE69CC1" w14:textId="77777777" w:rsidR="0013244E" w:rsidRDefault="00132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6C4500"/>
    <w:multiLevelType w:val="hybridMultilevel"/>
    <w:tmpl w:val="47E0EA8A"/>
    <w:lvl w:ilvl="0" w:tplc="0A580D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5D4339"/>
    <w:multiLevelType w:val="hybridMultilevel"/>
    <w:tmpl w:val="769469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515A6D54"/>
    <w:lvl w:ilvl="0" w:tplc="AFBC4F0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CDF037F"/>
    <w:multiLevelType w:val="hybridMultilevel"/>
    <w:tmpl w:val="0898237C"/>
    <w:lvl w:ilvl="0" w:tplc="C584034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3B150D"/>
    <w:multiLevelType w:val="hybridMultilevel"/>
    <w:tmpl w:val="CA6E8D84"/>
    <w:lvl w:ilvl="0" w:tplc="D55A60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72CE2"/>
    <w:multiLevelType w:val="hybridMultilevel"/>
    <w:tmpl w:val="3050DC36"/>
    <w:lvl w:ilvl="0" w:tplc="2CD0833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BD00F7"/>
    <w:multiLevelType w:val="hybridMultilevel"/>
    <w:tmpl w:val="74D6911A"/>
    <w:lvl w:ilvl="0" w:tplc="A1C0EBFA">
      <w:start w:val="4"/>
      <w:numFmt w:val="decimal"/>
      <w:lvlText w:val="(%1)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5670C9"/>
    <w:multiLevelType w:val="hybridMultilevel"/>
    <w:tmpl w:val="E01C274C"/>
    <w:lvl w:ilvl="0" w:tplc="11B49E5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8"/>
  </w:num>
  <w:num w:numId="7">
    <w:abstractNumId w:val="10"/>
  </w:num>
  <w:num w:numId="8">
    <w:abstractNumId w:val="9"/>
  </w:num>
  <w:num w:numId="9">
    <w:abstractNumId w:val="11"/>
  </w:num>
  <w:num w:numId="10">
    <w:abstractNumId w:val="4"/>
  </w:num>
  <w:num w:numId="11">
    <w:abstractNumId w:val="7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0"/>
  <w:removePersonalInformation/>
  <w:removeDateAndTime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1071"/>
    <w:rsid w:val="00033397"/>
    <w:rsid w:val="00040095"/>
    <w:rsid w:val="00060C49"/>
    <w:rsid w:val="00061D60"/>
    <w:rsid w:val="00080512"/>
    <w:rsid w:val="000819E1"/>
    <w:rsid w:val="00082142"/>
    <w:rsid w:val="000838B2"/>
    <w:rsid w:val="00095FDA"/>
    <w:rsid w:val="000A3F1E"/>
    <w:rsid w:val="000B7BCF"/>
    <w:rsid w:val="000D58AB"/>
    <w:rsid w:val="000F5515"/>
    <w:rsid w:val="001125BC"/>
    <w:rsid w:val="00113655"/>
    <w:rsid w:val="0013244E"/>
    <w:rsid w:val="0013505C"/>
    <w:rsid w:val="00140F1B"/>
    <w:rsid w:val="0015191C"/>
    <w:rsid w:val="00155217"/>
    <w:rsid w:val="001741A0"/>
    <w:rsid w:val="00194CD0"/>
    <w:rsid w:val="001A40DB"/>
    <w:rsid w:val="001B49C9"/>
    <w:rsid w:val="001C3A58"/>
    <w:rsid w:val="001C6AFD"/>
    <w:rsid w:val="001E14C1"/>
    <w:rsid w:val="001F168B"/>
    <w:rsid w:val="001F7831"/>
    <w:rsid w:val="00203B69"/>
    <w:rsid w:val="00204045"/>
    <w:rsid w:val="002211C0"/>
    <w:rsid w:val="0022606D"/>
    <w:rsid w:val="00234FA8"/>
    <w:rsid w:val="00246ADE"/>
    <w:rsid w:val="00264E85"/>
    <w:rsid w:val="002747EC"/>
    <w:rsid w:val="002855BF"/>
    <w:rsid w:val="00286750"/>
    <w:rsid w:val="00290689"/>
    <w:rsid w:val="00294C67"/>
    <w:rsid w:val="002B08F5"/>
    <w:rsid w:val="002B3BBC"/>
    <w:rsid w:val="002C347C"/>
    <w:rsid w:val="002F0577"/>
    <w:rsid w:val="002F0D22"/>
    <w:rsid w:val="00304965"/>
    <w:rsid w:val="003172DC"/>
    <w:rsid w:val="003253F2"/>
    <w:rsid w:val="00326069"/>
    <w:rsid w:val="003323AD"/>
    <w:rsid w:val="0033543A"/>
    <w:rsid w:val="00345C61"/>
    <w:rsid w:val="00345DFA"/>
    <w:rsid w:val="0035462D"/>
    <w:rsid w:val="0036231A"/>
    <w:rsid w:val="0036531D"/>
    <w:rsid w:val="00367BC5"/>
    <w:rsid w:val="003853D4"/>
    <w:rsid w:val="0039123D"/>
    <w:rsid w:val="003C4E37"/>
    <w:rsid w:val="003C7980"/>
    <w:rsid w:val="003E16BE"/>
    <w:rsid w:val="003E47C8"/>
    <w:rsid w:val="003F0E3C"/>
    <w:rsid w:val="00401855"/>
    <w:rsid w:val="00417F03"/>
    <w:rsid w:val="004318CB"/>
    <w:rsid w:val="00435417"/>
    <w:rsid w:val="0043719A"/>
    <w:rsid w:val="004507CF"/>
    <w:rsid w:val="00450ABB"/>
    <w:rsid w:val="00473438"/>
    <w:rsid w:val="00477455"/>
    <w:rsid w:val="00487E17"/>
    <w:rsid w:val="004967EB"/>
    <w:rsid w:val="004A1330"/>
    <w:rsid w:val="004A1D32"/>
    <w:rsid w:val="004A200E"/>
    <w:rsid w:val="004A242F"/>
    <w:rsid w:val="004A2EE9"/>
    <w:rsid w:val="004B427F"/>
    <w:rsid w:val="004B5DC2"/>
    <w:rsid w:val="004B623C"/>
    <w:rsid w:val="004C1D83"/>
    <w:rsid w:val="004D3578"/>
    <w:rsid w:val="004D380D"/>
    <w:rsid w:val="004E213A"/>
    <w:rsid w:val="00503171"/>
    <w:rsid w:val="00504221"/>
    <w:rsid w:val="005233B9"/>
    <w:rsid w:val="00534DA0"/>
    <w:rsid w:val="00536FEC"/>
    <w:rsid w:val="00540E20"/>
    <w:rsid w:val="00543E6C"/>
    <w:rsid w:val="0055091E"/>
    <w:rsid w:val="00555537"/>
    <w:rsid w:val="0056387E"/>
    <w:rsid w:val="00565087"/>
    <w:rsid w:val="0056573F"/>
    <w:rsid w:val="005A0B48"/>
    <w:rsid w:val="005A2B51"/>
    <w:rsid w:val="005A71AA"/>
    <w:rsid w:val="005B1D39"/>
    <w:rsid w:val="005B1EC0"/>
    <w:rsid w:val="005C6AB4"/>
    <w:rsid w:val="005C7657"/>
    <w:rsid w:val="005D5585"/>
    <w:rsid w:val="005E3588"/>
    <w:rsid w:val="005F2D2A"/>
    <w:rsid w:val="00611566"/>
    <w:rsid w:val="00624A49"/>
    <w:rsid w:val="00637E86"/>
    <w:rsid w:val="006469C6"/>
    <w:rsid w:val="00651B82"/>
    <w:rsid w:val="00655F43"/>
    <w:rsid w:val="00656910"/>
    <w:rsid w:val="00666F0A"/>
    <w:rsid w:val="00675D99"/>
    <w:rsid w:val="006805E0"/>
    <w:rsid w:val="00696B18"/>
    <w:rsid w:val="006A5A39"/>
    <w:rsid w:val="006B47AE"/>
    <w:rsid w:val="006B4A29"/>
    <w:rsid w:val="006D1E24"/>
    <w:rsid w:val="006D6564"/>
    <w:rsid w:val="006E4A2D"/>
    <w:rsid w:val="006F6A2C"/>
    <w:rsid w:val="006F77A9"/>
    <w:rsid w:val="007052C8"/>
    <w:rsid w:val="00705D6E"/>
    <w:rsid w:val="0072362C"/>
    <w:rsid w:val="00725AC6"/>
    <w:rsid w:val="00734A5B"/>
    <w:rsid w:val="00734A8F"/>
    <w:rsid w:val="00744CCE"/>
    <w:rsid w:val="00744E76"/>
    <w:rsid w:val="00746F5F"/>
    <w:rsid w:val="0075023A"/>
    <w:rsid w:val="00757D40"/>
    <w:rsid w:val="00777DDD"/>
    <w:rsid w:val="00781F0F"/>
    <w:rsid w:val="0078727C"/>
    <w:rsid w:val="007B0BFE"/>
    <w:rsid w:val="007B18D8"/>
    <w:rsid w:val="007B3156"/>
    <w:rsid w:val="007B376D"/>
    <w:rsid w:val="007C095F"/>
    <w:rsid w:val="007D510E"/>
    <w:rsid w:val="007E20B7"/>
    <w:rsid w:val="007F4EB2"/>
    <w:rsid w:val="007F529B"/>
    <w:rsid w:val="0080177B"/>
    <w:rsid w:val="008028A4"/>
    <w:rsid w:val="00823655"/>
    <w:rsid w:val="00832739"/>
    <w:rsid w:val="00840B9C"/>
    <w:rsid w:val="00871100"/>
    <w:rsid w:val="008768CA"/>
    <w:rsid w:val="00880559"/>
    <w:rsid w:val="00883340"/>
    <w:rsid w:val="008834FF"/>
    <w:rsid w:val="00886721"/>
    <w:rsid w:val="008A43A6"/>
    <w:rsid w:val="008B5020"/>
    <w:rsid w:val="008C660B"/>
    <w:rsid w:val="008D321D"/>
    <w:rsid w:val="009018CA"/>
    <w:rsid w:val="0090271F"/>
    <w:rsid w:val="009160F4"/>
    <w:rsid w:val="00942C84"/>
    <w:rsid w:val="00942EC2"/>
    <w:rsid w:val="00946F40"/>
    <w:rsid w:val="009521A5"/>
    <w:rsid w:val="00956458"/>
    <w:rsid w:val="00961B32"/>
    <w:rsid w:val="00974BB0"/>
    <w:rsid w:val="009B07CD"/>
    <w:rsid w:val="009B4C84"/>
    <w:rsid w:val="009D2439"/>
    <w:rsid w:val="009E5C98"/>
    <w:rsid w:val="009F23CD"/>
    <w:rsid w:val="009F280B"/>
    <w:rsid w:val="009F7BE1"/>
    <w:rsid w:val="00A1058E"/>
    <w:rsid w:val="00A10F02"/>
    <w:rsid w:val="00A26FC2"/>
    <w:rsid w:val="00A35F53"/>
    <w:rsid w:val="00A51859"/>
    <w:rsid w:val="00A53724"/>
    <w:rsid w:val="00A6004D"/>
    <w:rsid w:val="00A63D96"/>
    <w:rsid w:val="00A647EC"/>
    <w:rsid w:val="00A66DC2"/>
    <w:rsid w:val="00A82346"/>
    <w:rsid w:val="00A86523"/>
    <w:rsid w:val="00A9671C"/>
    <w:rsid w:val="00AA52CF"/>
    <w:rsid w:val="00AA6103"/>
    <w:rsid w:val="00AD0506"/>
    <w:rsid w:val="00AD151B"/>
    <w:rsid w:val="00AF1B11"/>
    <w:rsid w:val="00AF1FA0"/>
    <w:rsid w:val="00AF2F7E"/>
    <w:rsid w:val="00B15449"/>
    <w:rsid w:val="00B320A4"/>
    <w:rsid w:val="00B41BC7"/>
    <w:rsid w:val="00B5424A"/>
    <w:rsid w:val="00B7588A"/>
    <w:rsid w:val="00B84187"/>
    <w:rsid w:val="00BA0976"/>
    <w:rsid w:val="00BB0EF8"/>
    <w:rsid w:val="00BB2B79"/>
    <w:rsid w:val="00BF1F70"/>
    <w:rsid w:val="00C12B51"/>
    <w:rsid w:val="00C17CC4"/>
    <w:rsid w:val="00C23BE7"/>
    <w:rsid w:val="00C2413D"/>
    <w:rsid w:val="00C31414"/>
    <w:rsid w:val="00C33079"/>
    <w:rsid w:val="00C50A51"/>
    <w:rsid w:val="00C55B7C"/>
    <w:rsid w:val="00C57898"/>
    <w:rsid w:val="00C66D03"/>
    <w:rsid w:val="00C72DEC"/>
    <w:rsid w:val="00C827EA"/>
    <w:rsid w:val="00C83A13"/>
    <w:rsid w:val="00CA16D4"/>
    <w:rsid w:val="00CA3D0C"/>
    <w:rsid w:val="00CD24DE"/>
    <w:rsid w:val="00CD4C7B"/>
    <w:rsid w:val="00CD76CD"/>
    <w:rsid w:val="00CF2052"/>
    <w:rsid w:val="00CF3020"/>
    <w:rsid w:val="00D112DC"/>
    <w:rsid w:val="00D1707B"/>
    <w:rsid w:val="00D173D5"/>
    <w:rsid w:val="00D23151"/>
    <w:rsid w:val="00D30B0F"/>
    <w:rsid w:val="00D52902"/>
    <w:rsid w:val="00D62045"/>
    <w:rsid w:val="00D629C3"/>
    <w:rsid w:val="00D650B8"/>
    <w:rsid w:val="00D6696A"/>
    <w:rsid w:val="00D738D6"/>
    <w:rsid w:val="00D80795"/>
    <w:rsid w:val="00D87E00"/>
    <w:rsid w:val="00D9134D"/>
    <w:rsid w:val="00D949F8"/>
    <w:rsid w:val="00D96D11"/>
    <w:rsid w:val="00DA0CA6"/>
    <w:rsid w:val="00DA73A6"/>
    <w:rsid w:val="00DA7A03"/>
    <w:rsid w:val="00DB1818"/>
    <w:rsid w:val="00DB283B"/>
    <w:rsid w:val="00DB3C24"/>
    <w:rsid w:val="00DB6D95"/>
    <w:rsid w:val="00DC309B"/>
    <w:rsid w:val="00DC4DA2"/>
    <w:rsid w:val="00DD55AE"/>
    <w:rsid w:val="00DF5608"/>
    <w:rsid w:val="00DF6D4E"/>
    <w:rsid w:val="00E36911"/>
    <w:rsid w:val="00E5446E"/>
    <w:rsid w:val="00E62835"/>
    <w:rsid w:val="00E65C70"/>
    <w:rsid w:val="00E67D45"/>
    <w:rsid w:val="00E77645"/>
    <w:rsid w:val="00E865BC"/>
    <w:rsid w:val="00E87B47"/>
    <w:rsid w:val="00E92F2D"/>
    <w:rsid w:val="00EC463D"/>
    <w:rsid w:val="00EC4A25"/>
    <w:rsid w:val="00EC7831"/>
    <w:rsid w:val="00ED2F24"/>
    <w:rsid w:val="00F025A2"/>
    <w:rsid w:val="00F12C8A"/>
    <w:rsid w:val="00F16DBC"/>
    <w:rsid w:val="00F2026E"/>
    <w:rsid w:val="00F2210A"/>
    <w:rsid w:val="00F23751"/>
    <w:rsid w:val="00F3281F"/>
    <w:rsid w:val="00F37743"/>
    <w:rsid w:val="00F40A77"/>
    <w:rsid w:val="00F44479"/>
    <w:rsid w:val="00F54A3D"/>
    <w:rsid w:val="00F653B8"/>
    <w:rsid w:val="00F76F8F"/>
    <w:rsid w:val="00FA1266"/>
    <w:rsid w:val="00FA208D"/>
    <w:rsid w:val="00FB4801"/>
    <w:rsid w:val="00FB70F5"/>
    <w:rsid w:val="00FC1192"/>
    <w:rsid w:val="00FD0085"/>
    <w:rsid w:val="00FE0C8F"/>
    <w:rsid w:val="00FE352D"/>
    <w:rsid w:val="00FF4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C3A62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paragraph" w:styleId="ListParagraph">
    <w:name w:val="List Paragraph"/>
    <w:basedOn w:val="Normal"/>
    <w:uiPriority w:val="34"/>
    <w:qFormat/>
    <w:rsid w:val="00725AC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B1Zchn">
    <w:name w:val="B1 Zchn"/>
    <w:link w:val="B1"/>
    <w:rsid w:val="00536FEC"/>
    <w:rPr>
      <w:lang w:val="en-GB"/>
    </w:rPr>
  </w:style>
  <w:style w:type="paragraph" w:styleId="BalloonText">
    <w:name w:val="Balloon Text"/>
    <w:basedOn w:val="Normal"/>
    <w:link w:val="BalloonTextChar"/>
    <w:rsid w:val="00C2413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2413D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FF43EA"/>
    <w:rPr>
      <w:b/>
      <w:bCs/>
    </w:rPr>
  </w:style>
  <w:style w:type="character" w:styleId="CommentReference">
    <w:name w:val="annotation reference"/>
    <w:basedOn w:val="DefaultParagraphFont"/>
    <w:rsid w:val="00DF56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DF5608"/>
  </w:style>
  <w:style w:type="character" w:customStyle="1" w:styleId="CommentTextChar">
    <w:name w:val="Comment Text Char"/>
    <w:basedOn w:val="DefaultParagraphFont"/>
    <w:link w:val="CommentText"/>
    <w:rsid w:val="00DF560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F56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F560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3gpp.org/ftp/tsg_ran/WG2_RL2/TSGR2_93bis/Docs/R2-162366.zip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ABA08-668E-4241-B245-2787ADFA9B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29145A-0BE9-4B9C-87D8-45A8849DC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1B9AFB-77E6-467D-A177-2B5ABF7EAD48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435E8721-9DAE-4C9D-BF40-A12BE74CA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870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5823</CharactersWithSpaces>
  <SharedDoc>false</SharedDoc>
  <HyperlinkBase/>
  <HLinks>
    <vt:vector size="12" baseType="variant">
      <vt:variant>
        <vt:i4>4259913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http://www.3gpp.org/DynaReport/38913.htm</vt:lpwstr>
      </vt:variant>
      <vt:variant>
        <vt:lpwstr/>
      </vt:variant>
      <vt:variant>
        <vt:i4>2162701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http://www.3gpp.org/ftp/tsg_ran/TSG_RAN/TSGR_71/Docs/RP-160671.zip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2016-05-13T05:41:00Z</dcterms:created>
  <dcterms:modified xsi:type="dcterms:W3CDTF">2016-05-13T05:42:00Z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/>
  </property>
</Properties>
</file>